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2CC3C">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黑体" w:hAnsi="黑体" w:eastAsia="黑体" w:cs="黑体"/>
          <w:b/>
          <w:bCs/>
          <w:color w:val="000000" w:themeColor="text1"/>
          <w:sz w:val="24"/>
          <w:szCs w:val="24"/>
          <w:lang w:val="en-US" w:eastAsia="zh-CN"/>
          <w14:textFill>
            <w14:solidFill>
              <w14:schemeClr w14:val="tx1"/>
            </w14:solidFill>
          </w14:textFill>
        </w:rPr>
      </w:pPr>
    </w:p>
    <w:p w14:paraId="6504F801">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产品名称：</w:t>
      </w:r>
      <w:r>
        <w:rPr>
          <w:rFonts w:hint="eastAsia" w:ascii="宋体" w:hAnsi="宋体" w:eastAsia="宋体" w:cs="宋体"/>
          <w:b w:val="0"/>
          <w:bCs w:val="0"/>
          <w:color w:val="000000" w:themeColor="text1"/>
          <w:sz w:val="24"/>
          <w:szCs w:val="24"/>
          <w:lang w:val="en-US" w:eastAsia="zh-CN"/>
          <w14:textFill>
            <w14:solidFill>
              <w14:schemeClr w14:val="tx1"/>
            </w14:solidFill>
          </w14:textFill>
        </w:rPr>
        <w:t>Ficoll Plus 1.083</w:t>
      </w:r>
    </w:p>
    <w:p w14:paraId="65C2C133">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b w:val="0"/>
          <w:bCs w:val="0"/>
          <w:color w:val="000000" w:themeColor="text1"/>
          <w:sz w:val="24"/>
          <w:szCs w:val="24"/>
          <w:lang w:val="en-US" w:eastAsia="zh-CN"/>
          <w14:textFill>
            <w14:solidFill>
              <w14:schemeClr w14:val="tx1"/>
            </w14:solidFill>
          </w14:textFill>
        </w:rPr>
      </w:pPr>
    </w:p>
    <w:p w14:paraId="4D4475B3">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b/>
          <w:bCs/>
          <w:sz w:val="24"/>
          <w:szCs w:val="24"/>
          <w:lang w:val="en-US" w:eastAsia="zh-CN"/>
        </w:rPr>
        <w:t>货号：</w:t>
      </w:r>
      <w:r>
        <w:rPr>
          <w:rFonts w:hint="eastAsia" w:ascii="宋体" w:hAnsi="宋体" w:eastAsia="宋体" w:cs="宋体"/>
          <w:color w:val="000000"/>
          <w:kern w:val="0"/>
          <w:sz w:val="24"/>
          <w:szCs w:val="24"/>
          <w:lang w:val="en-US" w:eastAsia="zh-CN" w:bidi="ar"/>
        </w:rPr>
        <w:t>K64360</w:t>
      </w:r>
    </w:p>
    <w:p w14:paraId="520E5440">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000000"/>
          <w:kern w:val="0"/>
          <w:sz w:val="24"/>
          <w:szCs w:val="24"/>
          <w:lang w:val="en-US" w:eastAsia="zh-CN" w:bidi="ar"/>
        </w:rPr>
      </w:pPr>
    </w:p>
    <w:p w14:paraId="4E5ED29B">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b/>
          <w:bCs/>
          <w:sz w:val="24"/>
          <w:szCs w:val="24"/>
          <w:lang w:val="en-US" w:eastAsia="zh-CN"/>
        </w:rPr>
        <w:t>规格：</w:t>
      </w:r>
      <w:r>
        <w:rPr>
          <w:rFonts w:hint="eastAsia" w:ascii="宋体" w:hAnsi="宋体" w:eastAsia="宋体" w:cs="宋体"/>
          <w:color w:val="000000"/>
          <w:kern w:val="0"/>
          <w:sz w:val="24"/>
          <w:szCs w:val="24"/>
          <w:lang w:val="en-US" w:eastAsia="zh-CN" w:bidi="ar"/>
        </w:rPr>
        <w:t>200ML</w:t>
      </w:r>
    </w:p>
    <w:p w14:paraId="01DC8120">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000000"/>
          <w:kern w:val="0"/>
          <w:sz w:val="24"/>
          <w:szCs w:val="24"/>
          <w:lang w:val="en-US" w:eastAsia="zh-CN" w:bidi="ar"/>
        </w:rPr>
      </w:pPr>
    </w:p>
    <w:p w14:paraId="51E3BC6D">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b/>
          <w:bCs/>
          <w:sz w:val="24"/>
          <w:szCs w:val="24"/>
          <w:lang w:val="en-US" w:eastAsia="zh-CN"/>
        </w:rPr>
        <w:t>保存：</w:t>
      </w:r>
      <w:r>
        <w:rPr>
          <w:rFonts w:hint="eastAsia" w:ascii="宋体" w:hAnsi="宋体" w:eastAsia="宋体" w:cs="宋体"/>
          <w:color w:val="000000"/>
          <w:kern w:val="0"/>
          <w:sz w:val="24"/>
          <w:szCs w:val="24"/>
          <w:lang w:val="en-US" w:eastAsia="zh-CN" w:bidi="ar"/>
        </w:rPr>
        <w:t>本产品对光敏感，应该室温避光储存，保质期</w:t>
      </w:r>
      <w:r>
        <w:rPr>
          <w:rFonts w:hint="default" w:ascii="Times New Roman" w:hAnsi="Times New Roman" w:eastAsia="宋体" w:cs="Times New Roman"/>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年。无菌开封后，保存于室温。</w:t>
      </w:r>
    </w:p>
    <w:p w14:paraId="3C79B761">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b/>
          <w:bCs/>
          <w:sz w:val="24"/>
          <w:szCs w:val="24"/>
          <w:lang w:val="en-US" w:eastAsia="zh-CN"/>
        </w:rPr>
      </w:pPr>
      <w:bookmarkStart w:id="0" w:name="_GoBack"/>
      <w:bookmarkEnd w:id="0"/>
    </w:p>
    <w:p w14:paraId="3306FE3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产品说明:</w:t>
      </w:r>
    </w:p>
    <w:p w14:paraId="55F6EC91">
      <w:pPr>
        <w:pStyle w:val="2"/>
        <w:keepNext w:val="0"/>
        <w:keepLines w:val="0"/>
        <w:pageBreakBefore w:val="0"/>
        <w:widowControl/>
        <w:kinsoku/>
        <w:wordWrap/>
        <w:overflowPunct/>
        <w:topLinePunct w:val="0"/>
        <w:autoSpaceDE/>
        <w:autoSpaceDN/>
        <w:bidi w:val="0"/>
        <w:adjustRightInd/>
        <w:snapToGrid/>
        <w:spacing w:after="0" w:line="240" w:lineRule="auto"/>
        <w:ind w:firstLine="460" w:firstLineChars="200"/>
        <w:jc w:val="left"/>
        <w:textAlignment w:val="auto"/>
        <w:rPr>
          <w:rFonts w:hint="eastAsia"/>
          <w:lang w:val="en-US" w:eastAsia="zh-CN"/>
        </w:rPr>
      </w:pPr>
      <w:r>
        <w:rPr>
          <w:rFonts w:hint="eastAsia"/>
          <w:lang w:val="en-US" w:eastAsia="zh-CN"/>
        </w:rPr>
        <w:t xml:space="preserve">本产品是一种无菌、低内毒素水平的密度梯度分离液。分离原理是根据血细胞的密度差异，通过离心使细胞按相应密度梯度分布，从而将细胞从血液中分离出来。 </w:t>
      </w:r>
    </w:p>
    <w:p w14:paraId="16E30EDB">
      <w:pPr>
        <w:pStyle w:val="2"/>
        <w:keepNext w:val="0"/>
        <w:keepLines w:val="0"/>
        <w:pageBreakBefore w:val="0"/>
        <w:widowControl/>
        <w:kinsoku/>
        <w:wordWrap/>
        <w:overflowPunct/>
        <w:topLinePunct w:val="0"/>
        <w:autoSpaceDE/>
        <w:autoSpaceDN/>
        <w:bidi w:val="0"/>
        <w:adjustRightInd/>
        <w:snapToGrid/>
        <w:spacing w:after="0" w:line="240" w:lineRule="auto"/>
        <w:ind w:firstLine="460" w:firstLineChars="200"/>
        <w:jc w:val="left"/>
        <w:textAlignment w:val="auto"/>
        <w:rPr>
          <w:rFonts w:hint="default"/>
          <w:lang w:val="en-US" w:eastAsia="zh-CN"/>
        </w:rPr>
      </w:pPr>
      <w:r>
        <w:rPr>
          <w:rFonts w:hint="eastAsia"/>
          <w:lang w:val="en-US" w:eastAsia="zh-CN"/>
        </w:rPr>
        <w:t>参数如下：</w:t>
      </w:r>
    </w:p>
    <w:p w14:paraId="5E8CC76C">
      <w:pPr>
        <w:pStyle w:val="2"/>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b/>
          <w:bCs/>
          <w:lang w:val="en-US" w:eastAsia="zh-CN"/>
        </w:rPr>
      </w:pPr>
      <w:r>
        <w:rPr>
          <w:rFonts w:hint="eastAsia"/>
          <w:lang w:val="en-US" w:eastAsia="zh-CN"/>
        </w:rPr>
        <w:drawing>
          <wp:inline distT="0" distB="0" distL="114300" distR="114300">
            <wp:extent cx="3632835" cy="714375"/>
            <wp:effectExtent l="0" t="0" r="5715" b="9525"/>
            <wp:docPr id="10" name="图片 10" descr="8806d5d2-3ddb-470e-b354-cbdaa07c0e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8806d5d2-3ddb-470e-b354-cbdaa07c0e90"/>
                    <pic:cNvPicPr>
                      <a:picLocks noChangeAspect="1"/>
                    </pic:cNvPicPr>
                  </pic:nvPicPr>
                  <pic:blipFill>
                    <a:blip r:embed="rId8"/>
                    <a:stretch>
                      <a:fillRect/>
                    </a:stretch>
                  </pic:blipFill>
                  <pic:spPr>
                    <a:xfrm>
                      <a:off x="0" y="0"/>
                      <a:ext cx="3632835" cy="714375"/>
                    </a:xfrm>
                    <a:prstGeom prst="rect">
                      <a:avLst/>
                    </a:prstGeom>
                  </pic:spPr>
                </pic:pic>
              </a:graphicData>
            </a:graphic>
          </wp:inline>
        </w:drawing>
      </w:r>
    </w:p>
    <w:p w14:paraId="197BADD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操作步骤：</w:t>
      </w:r>
    </w:p>
    <w:p w14:paraId="213F4427">
      <w:pPr>
        <w:pStyle w:val="2"/>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sz w:val="24"/>
          <w:szCs w:val="24"/>
          <w:lang w:val="en-US" w:eastAsia="zh-CN"/>
        </w:rPr>
      </w:pPr>
      <w:r>
        <w:drawing>
          <wp:inline distT="0" distB="0" distL="114300" distR="114300">
            <wp:extent cx="3215005" cy="2271395"/>
            <wp:effectExtent l="0" t="0" r="4445" b="14605"/>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9"/>
                    <a:stretch>
                      <a:fillRect/>
                    </a:stretch>
                  </pic:blipFill>
                  <pic:spPr>
                    <a:xfrm>
                      <a:off x="0" y="0"/>
                      <a:ext cx="3215005" cy="2271395"/>
                    </a:xfrm>
                    <a:prstGeom prst="rect">
                      <a:avLst/>
                    </a:prstGeom>
                    <a:noFill/>
                    <a:ln>
                      <a:noFill/>
                    </a:ln>
                  </pic:spPr>
                </pic:pic>
              </a:graphicData>
            </a:graphic>
          </wp:inline>
        </w:drawing>
      </w:r>
    </w:p>
    <w:p w14:paraId="575012E7">
      <w:pPr>
        <w:pStyle w:val="2"/>
        <w:keepNext w:val="0"/>
        <w:keepLines w:val="0"/>
        <w:pageBreakBefore w:val="0"/>
        <w:widowControl/>
        <w:numPr>
          <w:ilvl w:val="0"/>
          <w:numId w:val="1"/>
        </w:numPr>
        <w:kinsoku/>
        <w:wordWrap/>
        <w:overflowPunct/>
        <w:topLinePunct w:val="0"/>
        <w:autoSpaceDE/>
        <w:autoSpaceDN/>
        <w:bidi w:val="0"/>
        <w:adjustRightInd/>
        <w:snapToGrid/>
        <w:spacing w:after="0" w:line="240" w:lineRule="auto"/>
        <w:textAlignment w:val="auto"/>
        <w:rPr>
          <w:rFonts w:hint="eastAsia"/>
          <w:sz w:val="24"/>
          <w:szCs w:val="24"/>
          <w:lang w:val="en-US" w:eastAsia="zh-CN"/>
        </w:rPr>
      </w:pPr>
      <w:r>
        <w:rPr>
          <w:rFonts w:hint="eastAsia"/>
          <w:sz w:val="24"/>
          <w:szCs w:val="24"/>
          <w:lang w:val="en-US" w:eastAsia="zh-CN"/>
        </w:rPr>
        <w:t xml:space="preserve">取新鲜抗凝全血（EDTA、枸橼酸钠或肝素抗凝均可）或者去纤维蛋白血液，用等体积的全血及组织稀释液或者 PBS 稀释全血。 </w:t>
      </w:r>
    </w:p>
    <w:p w14:paraId="58472D8A">
      <w:pPr>
        <w:pStyle w:val="2"/>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sz w:val="24"/>
          <w:szCs w:val="24"/>
          <w:lang w:val="en-US" w:eastAsia="zh-CN"/>
        </w:rPr>
      </w:pPr>
      <w:r>
        <w:rPr>
          <w:rFonts w:hint="eastAsia"/>
          <w:sz w:val="24"/>
          <w:szCs w:val="24"/>
          <w:lang w:val="en-US" w:eastAsia="zh-CN"/>
        </w:rPr>
        <w:t xml:space="preserve">2. 在离心管中加入适量分离液（当稀释后血液体积小于 3mL 时，加入 3mL 分离液；大于等于 3mL，加入等体积分离液。但二者的总体积不能超过离心管的三分之二，否则会影响分离效 果），将稀释后的血液平铺到分离液液面上方，注意保持两液面界面清晰。（可以使用巴氏德吸管吸取血液，然后将血液小心的平铺于分离液上，因为两者的密度差异，将形成明显的分层界面。如果样品较多加样时间较长，在离心之前出现红细胞成团下沉属正常现象。） </w:t>
      </w:r>
    </w:p>
    <w:p w14:paraId="16AF146E">
      <w:pPr>
        <w:pStyle w:val="2"/>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sz w:val="24"/>
          <w:szCs w:val="24"/>
          <w:lang w:val="en-US" w:eastAsia="zh-CN"/>
        </w:rPr>
      </w:pPr>
      <w:r>
        <w:rPr>
          <w:rFonts w:hint="eastAsia"/>
          <w:sz w:val="24"/>
          <w:szCs w:val="24"/>
          <w:lang w:val="en-US" w:eastAsia="zh-CN"/>
        </w:rPr>
        <w:t xml:space="preserve">3. 室温，水平转子 500~1000g，离心 20~30min （血液的体积越大所需的离心力越大，离心 时间越长，最佳的分离条件需摸索，离心转速最大不超过 1200g）。 </w:t>
      </w:r>
    </w:p>
    <w:p w14:paraId="7B4CF3C8">
      <w:pPr>
        <w:pStyle w:val="2"/>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sz w:val="24"/>
          <w:szCs w:val="24"/>
          <w:lang w:val="en-US" w:eastAsia="zh-CN"/>
        </w:rPr>
      </w:pPr>
      <w:r>
        <w:rPr>
          <w:rFonts w:hint="eastAsia"/>
          <w:sz w:val="24"/>
          <w:szCs w:val="24"/>
          <w:lang w:val="en-US" w:eastAsia="zh-CN"/>
        </w:rPr>
        <w:t xml:space="preserve">4. 离心后将出现明显的分层：最上层是稀释 的血浆层，中间是透明的分离液层，血浆与分离液之间的白膜层即为细胞层，离心管底部是红细胞与粒细胞。 </w:t>
      </w:r>
    </w:p>
    <w:p w14:paraId="322B3310">
      <w:pPr>
        <w:pStyle w:val="2"/>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sz w:val="24"/>
          <w:szCs w:val="24"/>
          <w:lang w:val="en-US" w:eastAsia="zh-CN"/>
        </w:rPr>
      </w:pPr>
      <w:r>
        <w:rPr>
          <w:rFonts w:hint="eastAsia"/>
          <w:sz w:val="24"/>
          <w:szCs w:val="24"/>
          <w:lang w:val="en-US" w:eastAsia="zh-CN"/>
        </w:rPr>
        <w:t xml:space="preserve">5. 小心的吸取白膜层细胞到 15mL 洁净的离 心管中，10mL PBS 或细胞洗涤液洗涤白膜层 细胞。250g，离心 10min。 </w:t>
      </w:r>
    </w:p>
    <w:p w14:paraId="30E19AD6">
      <w:pPr>
        <w:pStyle w:val="2"/>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sz w:val="24"/>
          <w:szCs w:val="24"/>
          <w:lang w:val="en-US" w:eastAsia="zh-CN"/>
        </w:rPr>
      </w:pPr>
      <w:r>
        <w:rPr>
          <w:rFonts w:hint="eastAsia"/>
          <w:sz w:val="24"/>
          <w:szCs w:val="24"/>
          <w:lang w:val="en-US" w:eastAsia="zh-CN"/>
        </w:rPr>
        <w:t xml:space="preserve">6. 弃上清，5mL 的 PBS 或细胞清洗液重悬细胞，250g，离心10min。 </w:t>
      </w:r>
    </w:p>
    <w:p w14:paraId="205B446C">
      <w:pPr>
        <w:pStyle w:val="2"/>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sz w:val="24"/>
          <w:szCs w:val="24"/>
          <w:lang w:val="en-US" w:eastAsia="zh-CN"/>
        </w:rPr>
      </w:pPr>
      <w:r>
        <w:rPr>
          <w:rFonts w:hint="eastAsia"/>
          <w:sz w:val="24"/>
          <w:szCs w:val="24"/>
          <w:lang w:val="en-US" w:eastAsia="zh-CN"/>
        </w:rPr>
        <w:t>7. 重复步骤 6</w:t>
      </w:r>
    </w:p>
    <w:p w14:paraId="38B4E30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sz w:val="24"/>
          <w:szCs w:val="24"/>
          <w:lang w:val="en-US" w:eastAsia="zh-CN"/>
        </w:rPr>
      </w:pPr>
      <w:r>
        <w:rPr>
          <w:rFonts w:hint="default" w:ascii="Times New Roman" w:hAnsi="Times New Roman" w:eastAsia="宋体" w:cs="Times New Roman"/>
          <w:color w:val="000000"/>
          <w:kern w:val="0"/>
          <w:sz w:val="24"/>
          <w:szCs w:val="24"/>
          <w:lang w:val="en-US" w:eastAsia="zh-CN" w:bidi="ar"/>
        </w:rPr>
        <w:t xml:space="preserve">8. </w:t>
      </w:r>
      <w:r>
        <w:rPr>
          <w:rFonts w:hint="eastAsia" w:ascii="宋体" w:hAnsi="宋体" w:eastAsia="宋体" w:cs="宋体"/>
          <w:color w:val="000000"/>
          <w:kern w:val="0"/>
          <w:sz w:val="24"/>
          <w:szCs w:val="24"/>
          <w:lang w:val="en-US" w:eastAsia="zh-CN" w:bidi="ar"/>
        </w:rPr>
        <w:t>弃上清，细胞重悬备用。</w:t>
      </w:r>
    </w:p>
    <w:p w14:paraId="39AE051A">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注意事项：</w:t>
      </w:r>
    </w:p>
    <w:p w14:paraId="2E10B71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pPr>
      <w:r>
        <w:rPr>
          <w:rFonts w:hint="default" w:ascii="Times New Roman" w:hAnsi="Times New Roman" w:eastAsia="宋体" w:cs="Times New Roman"/>
          <w:color w:val="000000"/>
          <w:kern w:val="0"/>
          <w:sz w:val="24"/>
          <w:szCs w:val="24"/>
          <w:lang w:val="en-US" w:eastAsia="zh-CN" w:bidi="ar"/>
        </w:rPr>
        <w:t xml:space="preserve">A. </w:t>
      </w:r>
      <w:r>
        <w:rPr>
          <w:rFonts w:hint="eastAsia" w:ascii="宋体" w:hAnsi="宋体" w:eastAsia="宋体" w:cs="宋体"/>
          <w:color w:val="000000"/>
          <w:kern w:val="0"/>
          <w:sz w:val="24"/>
          <w:szCs w:val="24"/>
          <w:lang w:val="en-US" w:eastAsia="zh-CN" w:bidi="ar"/>
        </w:rPr>
        <w:t xml:space="preserve">开封前颠倒混匀，本分离液为无菌产品，为延长分离液保存时间，请在无菌条件下启封，避免微生物污染。 </w:t>
      </w:r>
    </w:p>
    <w:p w14:paraId="09BA842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pPr>
      <w:r>
        <w:rPr>
          <w:rFonts w:hint="default" w:ascii="Times New Roman" w:hAnsi="Times New Roman" w:eastAsia="宋体" w:cs="Times New Roman"/>
          <w:color w:val="000000"/>
          <w:kern w:val="0"/>
          <w:sz w:val="24"/>
          <w:szCs w:val="24"/>
          <w:lang w:val="en-US" w:eastAsia="zh-CN" w:bidi="ar"/>
        </w:rPr>
        <w:t xml:space="preserve">B. </w:t>
      </w:r>
      <w:r>
        <w:rPr>
          <w:rFonts w:hint="eastAsia" w:ascii="宋体" w:hAnsi="宋体" w:eastAsia="宋体" w:cs="宋体"/>
          <w:color w:val="000000"/>
          <w:kern w:val="0"/>
          <w:sz w:val="24"/>
          <w:szCs w:val="24"/>
          <w:lang w:val="en-US" w:eastAsia="zh-CN" w:bidi="ar"/>
        </w:rPr>
        <w:t>分离液使用时应始终保持室温（</w:t>
      </w:r>
      <w:r>
        <w:rPr>
          <w:rFonts w:hint="default" w:ascii="Times New Roman" w:hAnsi="Times New Roman" w:eastAsia="宋体" w:cs="Times New Roman"/>
          <w:color w:val="000000"/>
          <w:kern w:val="0"/>
          <w:sz w:val="24"/>
          <w:szCs w:val="24"/>
          <w:lang w:val="en-US" w:eastAsia="zh-CN" w:bidi="ar"/>
        </w:rPr>
        <w:t>18℃~25℃</w:t>
      </w:r>
      <w:r>
        <w:rPr>
          <w:rFonts w:hint="eastAsia" w:ascii="宋体" w:hAnsi="宋体" w:eastAsia="宋体" w:cs="宋体"/>
          <w:color w:val="000000"/>
          <w:kern w:val="0"/>
          <w:sz w:val="24"/>
          <w:szCs w:val="24"/>
          <w:lang w:val="en-US" w:eastAsia="zh-CN" w:bidi="ar"/>
        </w:rPr>
        <w:t>），如室内温度较低，可将分离液预热。</w:t>
      </w:r>
      <w:r>
        <w:rPr>
          <w:rFonts w:hint="default" w:ascii="Times New Roman" w:hAnsi="Times New Roman" w:eastAsia="宋体" w:cs="Times New Roman"/>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 xml:space="preserve">或者是温度较低的条件下离心，可能会导致白膜层中红细胞污染加重。 </w:t>
      </w:r>
    </w:p>
    <w:p w14:paraId="6513244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pPr>
      <w:r>
        <w:rPr>
          <w:rFonts w:hint="default" w:ascii="Times New Roman" w:hAnsi="Times New Roman" w:eastAsia="宋体" w:cs="Times New Roman"/>
          <w:color w:val="000000"/>
          <w:kern w:val="0"/>
          <w:sz w:val="24"/>
          <w:szCs w:val="24"/>
          <w:lang w:val="en-US" w:eastAsia="zh-CN" w:bidi="ar"/>
        </w:rPr>
        <w:t xml:space="preserve">C. </w:t>
      </w:r>
      <w:r>
        <w:rPr>
          <w:rFonts w:hint="eastAsia" w:ascii="宋体" w:hAnsi="宋体" w:eastAsia="宋体" w:cs="宋体"/>
          <w:color w:val="000000"/>
          <w:kern w:val="0"/>
          <w:sz w:val="24"/>
          <w:szCs w:val="24"/>
          <w:lang w:val="en-US" w:eastAsia="zh-CN" w:bidi="ar"/>
        </w:rPr>
        <w:t xml:space="preserve">血液样本最好为新鲜抗凝血（采血 </w:t>
      </w:r>
      <w:r>
        <w:rPr>
          <w:rFonts w:hint="default" w:ascii="Times New Roman" w:hAnsi="Times New Roman" w:eastAsia="宋体" w:cs="Times New Roman"/>
          <w:color w:val="000000"/>
          <w:kern w:val="0"/>
          <w:sz w:val="24"/>
          <w:szCs w:val="24"/>
          <w:lang w:val="en-US" w:eastAsia="zh-CN" w:bidi="ar"/>
        </w:rPr>
        <w:t xml:space="preserve">2 h </w:t>
      </w:r>
      <w:r>
        <w:rPr>
          <w:rFonts w:hint="eastAsia" w:ascii="宋体" w:hAnsi="宋体" w:eastAsia="宋体" w:cs="宋体"/>
          <w:color w:val="000000"/>
          <w:kern w:val="0"/>
          <w:sz w:val="24"/>
          <w:szCs w:val="24"/>
          <w:lang w:val="en-US" w:eastAsia="zh-CN" w:bidi="ar"/>
        </w:rPr>
        <w:t xml:space="preserve">以内），为保持细胞的活性，应避免冷冻和冷藏。 </w:t>
      </w:r>
    </w:p>
    <w:p w14:paraId="33D2DE1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pPr>
      <w:r>
        <w:rPr>
          <w:rFonts w:hint="default" w:ascii="Times New Roman" w:hAnsi="Times New Roman" w:eastAsia="宋体" w:cs="Times New Roman"/>
          <w:color w:val="000000"/>
          <w:kern w:val="0"/>
          <w:sz w:val="24"/>
          <w:szCs w:val="24"/>
          <w:lang w:val="en-US" w:eastAsia="zh-CN" w:bidi="ar"/>
        </w:rPr>
        <w:t xml:space="preserve">D. </w:t>
      </w:r>
      <w:r>
        <w:rPr>
          <w:rFonts w:hint="eastAsia" w:ascii="宋体" w:hAnsi="宋体" w:eastAsia="宋体" w:cs="宋体"/>
          <w:color w:val="000000"/>
          <w:kern w:val="0"/>
          <w:sz w:val="24"/>
          <w:szCs w:val="24"/>
          <w:lang w:val="en-US" w:eastAsia="zh-CN" w:bidi="ar"/>
        </w:rPr>
        <w:t xml:space="preserve">稀释血液或洗涤细胞，不可使用含 </w:t>
      </w:r>
      <w:r>
        <w:rPr>
          <w:rFonts w:hint="default" w:ascii="Times New Roman" w:hAnsi="Times New Roman" w:eastAsia="宋体" w:cs="Times New Roman"/>
          <w:color w:val="000000"/>
          <w:kern w:val="0"/>
          <w:sz w:val="24"/>
          <w:szCs w:val="24"/>
          <w:lang w:val="en-US" w:eastAsia="zh-CN" w:bidi="ar"/>
        </w:rPr>
        <w:t>Ca</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 xml:space="preserve">Mg </w:t>
      </w:r>
      <w:r>
        <w:rPr>
          <w:rFonts w:hint="eastAsia" w:ascii="宋体" w:hAnsi="宋体" w:eastAsia="宋体" w:cs="宋体"/>
          <w:color w:val="000000"/>
          <w:kern w:val="0"/>
          <w:sz w:val="24"/>
          <w:szCs w:val="24"/>
          <w:lang w:val="en-US" w:eastAsia="zh-CN" w:bidi="ar"/>
        </w:rPr>
        <w:t xml:space="preserve">离子的缓冲液及培养液，其成分会导致血细胞凝集，大大降低细胞得率及纯度。 </w:t>
      </w:r>
    </w:p>
    <w:p w14:paraId="4ACE355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pPr>
      <w:r>
        <w:rPr>
          <w:rFonts w:hint="default" w:ascii="Times New Roman" w:hAnsi="Times New Roman" w:eastAsia="宋体" w:cs="Times New Roman"/>
          <w:color w:val="000000"/>
          <w:kern w:val="0"/>
          <w:sz w:val="24"/>
          <w:szCs w:val="24"/>
          <w:lang w:val="en-US" w:eastAsia="zh-CN" w:bidi="ar"/>
        </w:rPr>
        <w:t xml:space="preserve">E. </w:t>
      </w:r>
      <w:r>
        <w:rPr>
          <w:rFonts w:hint="eastAsia" w:ascii="宋体" w:hAnsi="宋体" w:eastAsia="宋体" w:cs="宋体"/>
          <w:color w:val="000000"/>
          <w:kern w:val="0"/>
          <w:sz w:val="24"/>
          <w:szCs w:val="24"/>
          <w:lang w:val="en-US" w:eastAsia="zh-CN" w:bidi="ar"/>
        </w:rPr>
        <w:t xml:space="preserve">部分塑料制品（如聚苯乙烯）因其带有的静电作用，可能会导致细胞挂壁，影响分离效果。 </w:t>
      </w:r>
    </w:p>
    <w:p w14:paraId="06491E3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pPr>
      <w:r>
        <w:rPr>
          <w:rFonts w:hint="default" w:ascii="Times New Roman" w:hAnsi="Times New Roman" w:eastAsia="宋体" w:cs="Times New Roman"/>
          <w:color w:val="000000"/>
          <w:kern w:val="0"/>
          <w:sz w:val="24"/>
          <w:szCs w:val="24"/>
          <w:lang w:val="en-US" w:eastAsia="zh-CN" w:bidi="ar"/>
        </w:rPr>
        <w:t xml:space="preserve">F. </w:t>
      </w:r>
      <w:r>
        <w:rPr>
          <w:rFonts w:hint="eastAsia" w:ascii="宋体" w:hAnsi="宋体" w:eastAsia="宋体" w:cs="宋体"/>
          <w:color w:val="000000"/>
          <w:kern w:val="0"/>
          <w:sz w:val="24"/>
          <w:szCs w:val="24"/>
          <w:lang w:val="en-US" w:eastAsia="zh-CN" w:bidi="ar"/>
        </w:rPr>
        <w:t xml:space="preserve">血液样本的粘稠度或者是温度差异，可能会影响分离效果，可以调节离心转数和离心时间，摸索最佳的分离条件。 </w:t>
      </w:r>
    </w:p>
    <w:p w14:paraId="7D6190D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pPr>
      <w:r>
        <w:rPr>
          <w:rFonts w:hint="default" w:ascii="Times New Roman" w:hAnsi="Times New Roman" w:eastAsia="宋体" w:cs="Times New Roman"/>
          <w:color w:val="000000"/>
          <w:kern w:val="0"/>
          <w:sz w:val="24"/>
          <w:szCs w:val="24"/>
          <w:lang w:val="en-US" w:eastAsia="zh-CN" w:bidi="ar"/>
        </w:rPr>
        <w:t xml:space="preserve">G. </w:t>
      </w:r>
      <w:r>
        <w:rPr>
          <w:rFonts w:hint="eastAsia" w:ascii="宋体" w:hAnsi="宋体" w:eastAsia="宋体" w:cs="宋体"/>
          <w:color w:val="000000"/>
          <w:kern w:val="0"/>
          <w:sz w:val="24"/>
          <w:szCs w:val="24"/>
          <w:lang w:val="en-US" w:eastAsia="zh-CN" w:bidi="ar"/>
        </w:rPr>
        <w:t xml:space="preserve">吸取过多的细胞层及分离液层会导致分离液交界处的粒细胞被吸出从而使混杂的粒细胞数量增加；吸取过多的血浆层可能会导致细胞中血浆蛋白及血小板污染。 </w:t>
      </w:r>
    </w:p>
    <w:p w14:paraId="515386C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eastAsia" w:ascii="宋体" w:hAnsi="宋体" w:eastAsia="宋体" w:cs="宋体"/>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 xml:space="preserve">H. </w:t>
      </w:r>
      <w:r>
        <w:rPr>
          <w:rFonts w:hint="eastAsia" w:ascii="宋体" w:hAnsi="宋体" w:eastAsia="宋体" w:cs="宋体"/>
          <w:color w:val="000000"/>
          <w:kern w:val="0"/>
          <w:sz w:val="24"/>
          <w:szCs w:val="24"/>
          <w:lang w:val="en-US" w:eastAsia="zh-CN" w:bidi="ar"/>
        </w:rPr>
        <w:t xml:space="preserve">如果要进一步对分离的细胞进行培养，那在收集血液和分离过程中，注意无菌操作，避免微生物污染。 </w:t>
      </w:r>
    </w:p>
    <w:p w14:paraId="3E23469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pPr>
      <w:r>
        <w:rPr>
          <w:rFonts w:hint="default" w:ascii="Times New Roman" w:hAnsi="Times New Roman" w:eastAsia="宋体" w:cs="Times New Roman"/>
          <w:color w:val="000000"/>
          <w:kern w:val="0"/>
          <w:sz w:val="24"/>
          <w:szCs w:val="24"/>
          <w:lang w:val="en-US" w:eastAsia="zh-CN" w:bidi="ar"/>
        </w:rPr>
        <w:t xml:space="preserve">I. </w:t>
      </w:r>
      <w:r>
        <w:rPr>
          <w:rFonts w:hint="eastAsia" w:ascii="宋体" w:hAnsi="宋体" w:eastAsia="宋体" w:cs="宋体"/>
          <w:color w:val="000000"/>
          <w:kern w:val="0"/>
          <w:sz w:val="24"/>
          <w:szCs w:val="24"/>
          <w:lang w:val="en-US" w:eastAsia="zh-CN" w:bidi="ar"/>
        </w:rPr>
        <w:t>不同动物血液在不同比重分离液中的细胞离散系数及细胞带电不同，用户在制定分离液时应提供所需分离液的比重、动物种属及被分离细胞的名称。</w:t>
      </w:r>
    </w:p>
    <w:p w14:paraId="2D1606B8">
      <w:pPr>
        <w:pStyle w:val="2"/>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黑体" w:hAnsi="黑体" w:eastAsia="黑体" w:cs="黑体"/>
          <w:sz w:val="28"/>
          <w:szCs w:val="28"/>
          <w:lang w:val="en-US" w:eastAsia="zh-CN"/>
        </w:rPr>
      </w:pPr>
      <w:r>
        <w:rPr>
          <w:rFonts w:hint="eastAsia" w:ascii="黑体" w:hAnsi="黑体" w:eastAsia="黑体" w:cs="黑体"/>
          <w:sz w:val="24"/>
          <w:szCs w:val="24"/>
        </w:rPr>
        <mc:AlternateContent>
          <mc:Choice Requires="wps">
            <w:drawing>
              <wp:anchor distT="0" distB="0" distL="114300" distR="114300" simplePos="0" relativeHeight="251660288" behindDoc="0" locked="0" layoutInCell="1" allowOverlap="1">
                <wp:simplePos x="0" y="0"/>
                <wp:positionH relativeFrom="column">
                  <wp:posOffset>-454025</wp:posOffset>
                </wp:positionH>
                <wp:positionV relativeFrom="page">
                  <wp:posOffset>8965565</wp:posOffset>
                </wp:positionV>
                <wp:extent cx="6210935" cy="548005"/>
                <wp:effectExtent l="0" t="0" r="12065" b="10795"/>
                <wp:wrapTopAndBottom/>
                <wp:docPr id="6" name="文本框 6"/>
                <wp:cNvGraphicFramePr/>
                <a:graphic xmlns:a="http://schemas.openxmlformats.org/drawingml/2006/main">
                  <a:graphicData uri="http://schemas.microsoft.com/office/word/2010/wordprocessingShape">
                    <wps:wsp>
                      <wps:cNvSpPr txBox="1"/>
                      <wps:spPr>
                        <a:xfrm>
                          <a:off x="2040890" y="9112885"/>
                          <a:ext cx="6210935" cy="54800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742A86F">
                            <w:pPr>
                              <w:ind w:firstLine="482" w:firstLineChars="20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本公司的所有产品仅用于科学研究或者工业应用等非医疗目的，不可用于人类或动物的临床诊断或治疗，非药用，非食用。</w:t>
                            </w:r>
                          </w:p>
                          <w:p w14:paraId="6F08F191">
                            <w:pPr>
                              <w:rPr>
                                <w:color w:val="000000" w:themeColor="text1"/>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75pt;margin-top:705.95pt;height:43.15pt;width:489.05pt;mso-position-vertical-relative:page;mso-wrap-distance-bottom:0pt;mso-wrap-distance-top:0pt;z-index:251660288;mso-width-relative:page;mso-height-relative:page;" fillcolor="#FFFFFF [3201]" filled="t" stroked="f" coordsize="21600,21600" o:gfxdata="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k&#10;lwp51wAAAA0BAAAPAAAAAAAAAAEAIAAAACIAAABkcnMvZG93bnJldi54bWxQSwECFAAUAAAACACH&#10;TuJANROV6l4CAACbBAAADgAAAAAAAAABACAAAAAmAQAAZHJzL2Uyb0RvYy54bWxQSwUGAAAAAAYA&#10;BgBZAQAA9gUAAAAA&#10;">
                <v:fill on="t" focussize="0,0"/>
                <v:stroke on="f" weight="0.5pt"/>
                <v:imagedata o:title=""/>
                <o:lock v:ext="edit" aspectratio="f"/>
                <v:textbox>
                  <w:txbxContent>
                    <w:p w14:paraId="3742A86F">
                      <w:pPr>
                        <w:ind w:firstLine="482" w:firstLineChars="20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本公司的所有产品仅用于科学研究或者工业应用等非医疗目的，不可用于人类或动物的临床诊断或治疗，非药用，非食用。</w:t>
                      </w:r>
                    </w:p>
                    <w:p w14:paraId="6F08F191">
                      <w:pPr>
                        <w:rPr>
                          <w:color w:val="000000" w:themeColor="text1"/>
                          <w14:textFill>
                            <w14:solidFill>
                              <w14:schemeClr w14:val="tx1"/>
                            </w14:solidFill>
                          </w14:textFill>
                        </w:rPr>
                      </w:pPr>
                    </w:p>
                  </w:txbxContent>
                </v:textbox>
                <w10:wrap type="topAndBottom"/>
              </v:shape>
            </w:pict>
          </mc:Fallback>
        </mc:AlternateContent>
      </w:r>
    </w:p>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CF0A9">
    <w:pPr>
      <w:pStyle w:val="3"/>
      <w:rPr>
        <w:rFonts w:hint="eastAsia" w:eastAsia="宋体"/>
        <w:lang w:eastAsia="zh-CN"/>
      </w:rPr>
    </w:pPr>
    <w:r>
      <w:rPr>
        <w:sz w:val="18"/>
      </w:rPr>
      <w:drawing>
        <wp:anchor distT="0" distB="0" distL="114300" distR="114300" simplePos="0" relativeHeight="251661312" behindDoc="1" locked="0" layoutInCell="1" allowOverlap="1">
          <wp:simplePos x="0" y="0"/>
          <wp:positionH relativeFrom="column">
            <wp:posOffset>-1073150</wp:posOffset>
          </wp:positionH>
          <wp:positionV relativeFrom="page">
            <wp:posOffset>9939655</wp:posOffset>
          </wp:positionV>
          <wp:extent cx="7412990" cy="678815"/>
          <wp:effectExtent l="0" t="0" r="0" b="0"/>
          <wp:wrapTight wrapText="bothSides">
            <wp:wrapPolygon>
              <wp:start x="111" y="808"/>
              <wp:lineTo x="111" y="4445"/>
              <wp:lineTo x="7142" y="7274"/>
              <wp:lineTo x="111" y="7274"/>
              <wp:lineTo x="111" y="18993"/>
              <wp:lineTo x="16504" y="20206"/>
              <wp:lineTo x="21463" y="20206"/>
              <wp:lineTo x="21463" y="808"/>
              <wp:lineTo x="111" y="808"/>
            </wp:wrapPolygon>
          </wp:wrapTight>
          <wp:docPr id="5" name="图片 5" descr="未标题-1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未标题-1_画板 1"/>
                  <pic:cNvPicPr>
                    <a:picLocks noChangeAspect="1"/>
                  </pic:cNvPicPr>
                </pic:nvPicPr>
                <pic:blipFill>
                  <a:blip r:embed="rId1"/>
                  <a:stretch>
                    <a:fillRect/>
                  </a:stretch>
                </pic:blipFill>
                <pic:spPr>
                  <a:xfrm>
                    <a:off x="0" y="0"/>
                    <a:ext cx="7412990" cy="678815"/>
                  </a:xfrm>
                  <a:prstGeom prst="rect">
                    <a:avLst/>
                  </a:prstGeom>
                </pic:spPr>
              </pic:pic>
            </a:graphicData>
          </a:graphic>
        </wp:anchor>
      </w:drawing>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0C1B43">
                          <w:pPr>
                            <w:pStyle w:val="3"/>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2</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0C1B43">
                    <w:pPr>
                      <w:pStyle w:val="3"/>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2</w:t>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EA5BB">
    <w:pPr>
      <w:pStyle w:val="4"/>
      <w:rPr>
        <w:rFonts w:hint="eastAsia" w:eastAsiaTheme="minorEastAsia"/>
        <w:lang w:eastAsia="zh-CN"/>
      </w:rPr>
    </w:pPr>
    <w:r>
      <w:rPr>
        <w:rFonts w:hint="eastAsia" w:eastAsiaTheme="minorEastAsia"/>
        <w:lang w:eastAsia="zh-CN"/>
      </w:rPr>
      <w:drawing>
        <wp:anchor distT="0" distB="0" distL="114300" distR="114300" simplePos="0" relativeHeight="251659264" behindDoc="1" locked="0" layoutInCell="1" allowOverlap="1">
          <wp:simplePos x="0" y="0"/>
          <wp:positionH relativeFrom="column">
            <wp:posOffset>-1084580</wp:posOffset>
          </wp:positionH>
          <wp:positionV relativeFrom="page">
            <wp:posOffset>161925</wp:posOffset>
          </wp:positionV>
          <wp:extent cx="7426960" cy="680085"/>
          <wp:effectExtent l="0" t="0" r="0" b="0"/>
          <wp:wrapNone/>
          <wp:docPr id="1" name="图片 1" descr="未标题-1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标题-1_画板 1"/>
                  <pic:cNvPicPr>
                    <a:picLocks noChangeAspect="1"/>
                  </pic:cNvPicPr>
                </pic:nvPicPr>
                <pic:blipFill>
                  <a:blip r:embed="rId1"/>
                  <a:stretch>
                    <a:fillRect/>
                  </a:stretch>
                </pic:blipFill>
                <pic:spPr>
                  <a:xfrm>
                    <a:off x="0" y="0"/>
                    <a:ext cx="7426960" cy="68008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2CEE91"/>
    <w:multiLevelType w:val="singleLevel"/>
    <w:tmpl w:val="062CEE91"/>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D545C2"/>
    <w:rsid w:val="05D30FA7"/>
    <w:rsid w:val="08505E42"/>
    <w:rsid w:val="0C1618B2"/>
    <w:rsid w:val="0FB35ED0"/>
    <w:rsid w:val="19D545C2"/>
    <w:rsid w:val="2078600D"/>
    <w:rsid w:val="213D6DB5"/>
    <w:rsid w:val="325944FC"/>
    <w:rsid w:val="38CF35E8"/>
    <w:rsid w:val="3C6B6854"/>
    <w:rsid w:val="42204173"/>
    <w:rsid w:val="433C63D6"/>
    <w:rsid w:val="59BC1DD2"/>
    <w:rsid w:val="64774B91"/>
    <w:rsid w:val="74883C41"/>
    <w:rsid w:val="7B775EA9"/>
    <w:rsid w:val="7E6C4D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宋体" w:cstheme="minorBidi"/>
      <w:sz w:val="24"/>
      <w:szCs w:val="22"/>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宋体" w:hAnsi="宋体" w:eastAsia="宋体" w:cs="宋体"/>
      <w:sz w:val="23"/>
      <w:szCs w:val="23"/>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564</Words>
  <Characters>634</Characters>
  <Lines>0</Lines>
  <Paragraphs>0</Paragraphs>
  <TotalTime>24</TotalTime>
  <ScaleCrop>false</ScaleCrop>
  <LinksUpToDate>false</LinksUpToDate>
  <CharactersWithSpaces>667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2026-10-16T02:36:00Z</dcterms:created>
  <dc:creator>Fairy  sister</dc:creator>
  <cp:lastModifiedBy>魏旺旺</cp:lastModifiedBy>
  <dcterms:modified xsi:type="dcterms:W3CDTF">2026-10-16T06:41:53Z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0E965AE5CF95459C811559EBC2FC25DE_13</vt:lpwstr>
  </property>
  <property fmtid="{D5CDD505-2E9C-101B-9397-08002B2CF9AE}" pid="4" name="KSOTemplateDocerSaveRecord">
    <vt:lpwstr>eyJoZGlkIjoiNTU3YWI2NTAzM2MwNjkyNTA5NzM4MzU3ZTM2OGNiYmUiLCJ1c2VySWQiOiI5NTQ4MjI5MzcifQ==</vt:lpwstr>
  </property>
</Properties>
</file>