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12CC3C">
      <w:pPr>
        <w:rPr>
          <w:rFonts w:hint="eastAsia" w:ascii="黑体" w:hAnsi="黑体" w:eastAsia="黑体" w:cs="黑体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</w:p>
    <w:p w14:paraId="5E044A5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产品名称：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预染蛋白 Marker（10-250KD）</w:t>
      </w:r>
    </w:p>
    <w:p w14:paraId="2DDE465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</w:p>
    <w:p w14:paraId="42412CE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color w:val="333333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货号：</w:t>
      </w:r>
      <w:r>
        <w:rPr>
          <w:rFonts w:hint="eastAsia" w:ascii="宋体" w:hAnsi="宋体" w:eastAsia="宋体" w:cs="宋体"/>
          <w:color w:val="333333"/>
          <w:kern w:val="0"/>
          <w:sz w:val="24"/>
          <w:szCs w:val="24"/>
          <w:lang w:val="en-US" w:eastAsia="zh-CN" w:bidi="ar"/>
        </w:rPr>
        <w:t>UG13062</w:t>
      </w:r>
      <w:r>
        <w:rPr>
          <w:rFonts w:hint="eastAsia" w:ascii="宋体" w:hAnsi="宋体" w:cs="宋体"/>
          <w:color w:val="333333"/>
          <w:kern w:val="0"/>
          <w:sz w:val="24"/>
          <w:szCs w:val="24"/>
          <w:lang w:val="en-US" w:eastAsia="zh-CN" w:bidi="ar"/>
        </w:rPr>
        <w:t>；</w:t>
      </w:r>
      <w:r>
        <w:rPr>
          <w:rFonts w:hint="eastAsia" w:ascii="宋体" w:hAnsi="宋体" w:eastAsia="宋体" w:cs="宋体"/>
          <w:color w:val="333333"/>
          <w:kern w:val="0"/>
          <w:sz w:val="24"/>
          <w:szCs w:val="24"/>
          <w:lang w:val="en-US" w:eastAsia="zh-CN" w:bidi="ar"/>
        </w:rPr>
        <w:t>UG13063</w:t>
      </w:r>
    </w:p>
    <w:p w14:paraId="5FE812F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规格：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drawing>
          <wp:inline distT="0" distB="0" distL="114300" distR="114300">
            <wp:extent cx="5268595" cy="796290"/>
            <wp:effectExtent l="0" t="0" r="8255" b="3810"/>
            <wp:docPr id="3" name="图片 3" descr="d789f596-8c6d-45a1-b3bc-bd7bf4ef02d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d789f596-8c6d-45a1-b3bc-bd7bf4ef02d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96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保存：</w:t>
      </w:r>
    </w:p>
    <w:p w14:paraId="1433DBF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蓝冰运输。4℃短期保存，有效期2个月；-20℃长期保存，有效期36个月。</w:t>
      </w:r>
    </w:p>
    <w:p w14:paraId="39E716F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产品组成：</w:t>
      </w:r>
    </w:p>
    <w:p w14:paraId="3C79B76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bookmarkStart w:id="0" w:name="_GoBack"/>
      <w:bookmarkEnd w:id="0"/>
    </w:p>
    <w:p w14:paraId="3306FE3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产品说明:</w:t>
      </w:r>
    </w:p>
    <w:p w14:paraId="185DB75E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480" w:firstLineChars="200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预染蛋白 Marker（10-250KD）包含了 10 种高度纯化并预染的重组蛋白质（10、15、25、35、40、 55、70、100、130、250KD）。其中，70KD条带为橙红色，10KD为绿色，其余条带为蓝色，适合作为SDS-PAGE 和 Western Blot 的蛋白质分子量标准。 </w:t>
      </w:r>
    </w:p>
    <w:p w14:paraId="0CD0772A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480" w:firstLineChars="200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本产品不含 His，可直接使用，无需煮沸、稀释或加入还原剂。根据上样孔的大小，每次上样 3-5μL，即可在电泳时、电泳后和转膜后观察到非常清楚的蛋白条带。</w:t>
      </w:r>
    </w:p>
    <w:p w14:paraId="73161F6E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</w:pPr>
      <w:r>
        <w:drawing>
          <wp:inline distT="0" distB="0" distL="114300" distR="114300">
            <wp:extent cx="1743075" cy="2609850"/>
            <wp:effectExtent l="0" t="0" r="9525" b="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260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0088B8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预染蛋白 marker分子量标准</w:t>
      </w:r>
    </w:p>
    <w:p w14:paraId="55F6EC91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eastAsia"/>
          <w:lang w:val="en-US" w:eastAsia="zh-CN"/>
        </w:rPr>
      </w:pPr>
    </w:p>
    <w:p w14:paraId="197BADD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操作步骤：</w:t>
      </w:r>
    </w:p>
    <w:p w14:paraId="0E5B02D3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1. 解冻：在室温下将蛋白 Marker 解冻，或用手心温热使其快速解冻。 </w:t>
      </w:r>
    </w:p>
    <w:p w14:paraId="240E5019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2. 混匀：使用涡旋振荡器轻轻混匀，确保溶液均一。 </w:t>
      </w:r>
    </w:p>
    <w:p w14:paraId="34A37AC5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3. 上样： </w:t>
      </w:r>
    </w:p>
    <w:p w14:paraId="75D5F0A4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(1) 对于小型胶 (mini-gel)：建议上样 5 μL 用于清晰的条带显现。 </w:t>
      </w:r>
    </w:p>
    <w:p w14:paraId="59021648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(2) 对于大型胶 (large-gel)：可酌情增加上样量。</w:t>
      </w:r>
    </w:p>
    <w:p w14:paraId="38B4E30F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eastAsia"/>
          <w:sz w:val="24"/>
          <w:szCs w:val="24"/>
          <w:lang w:val="en-US" w:eastAsia="zh-CN"/>
        </w:rPr>
      </w:pPr>
    </w:p>
    <w:p w14:paraId="39AE051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注意事项：</w:t>
      </w:r>
    </w:p>
    <w:p w14:paraId="06956B21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 xml:space="preserve">1. 本产品仅限于科学实验研究使用，不得用于临床诊断、治疗等领域。 </w:t>
      </w:r>
    </w:p>
    <w:p w14:paraId="6E192C24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 xml:space="preserve">2. PAGE 凝胶孔径会随凝胶浓度的变化而变化。低浓度的凝胶有较大的孔径，小分子量蛋白会迁移得比染料前缘更快。为了更好地分离小分子量蛋白，建议使用较高浓度的凝胶；而对于分离大分子量蛋白，则 较低浓度的凝胶更为适宜。 </w:t>
      </w:r>
    </w:p>
    <w:p w14:paraId="2D1606B8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3. 大分子量蛋白转印时建议延长转膜时间或加高转膜电压，如果效果不好建议微调转膜液配方，减少甲醇 用量，添加少量 SDS（终浓度不超过 0.1%）。</w:t>
      </w:r>
      <w:r>
        <w:rPr>
          <w:rFonts w:hint="eastAsia" w:ascii="黑体" w:hAnsi="黑体" w:eastAsia="黑体" w:cs="黑体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-454025</wp:posOffset>
                </wp:positionH>
                <wp:positionV relativeFrom="page">
                  <wp:posOffset>8965565</wp:posOffset>
                </wp:positionV>
                <wp:extent cx="6210935" cy="548005"/>
                <wp:effectExtent l="0" t="0" r="12065" b="10795"/>
                <wp:wrapTopAndBottom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040890" y="9112885"/>
                          <a:ext cx="6210935" cy="5480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42A86F">
                            <w:pPr>
                              <w:ind w:firstLine="482" w:firstLineChars="200"/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本公司的所有产品仅用于科学研究或者工业应用等非医疗目的，不可用于人类或动物的临床诊断或治疗，非药用，非食用。</w:t>
                            </w:r>
                          </w:p>
                          <w:p w14:paraId="6F08F191">
                            <w:pPr>
                              <w:rPr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35.75pt;margin-top:705.95pt;height:43.15pt;width:489.05pt;mso-position-vertical-relative:page;mso-wrap-distance-bottom:0pt;mso-wrap-distance-top:0pt;z-index:251660288;mso-width-relative:page;mso-height-relative:page;" fillcolor="#FFFFFF [3201]" filled="t" stroked="f" coordsize="21600,21600" o:gfxdata="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3742A86F">
                      <w:pPr>
                        <w:ind w:firstLine="482" w:firstLineChars="200"/>
                        <w:rPr>
                          <w:rFonts w:hint="eastAsia"/>
                          <w:b/>
                          <w:bCs/>
                          <w:color w:val="000000" w:themeColor="text1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000000" w:themeColor="text1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本公司的所有产品仅用于科学研究或者工业应用等非医疗目的，不可用于人类或动物的临床诊断或治疗，非药用，非食用。</w:t>
                      </w:r>
                    </w:p>
                    <w:p w14:paraId="6F08F191">
                      <w:pPr>
                        <w:rPr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</w:p>
    <w:sectPr>
      <w:headerReference r:id="rId5" w:type="default"/>
      <w:footerReference r:id="rId6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0CF0A9">
    <w:pPr>
      <w:pStyle w:val="3"/>
      <w:rPr>
        <w:rFonts w:hint="eastAsia" w:eastAsia="宋体"/>
        <w:lang w:eastAsia="zh-CN"/>
      </w:rPr>
    </w:pPr>
    <w:r>
      <w:rPr>
        <w:sz w:val="18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-1073150</wp:posOffset>
          </wp:positionH>
          <wp:positionV relativeFrom="page">
            <wp:posOffset>9939655</wp:posOffset>
          </wp:positionV>
          <wp:extent cx="7412990" cy="678815"/>
          <wp:effectExtent l="0" t="0" r="0" b="0"/>
          <wp:wrapTight wrapText="bothSides">
            <wp:wrapPolygon>
              <wp:start x="111" y="808"/>
              <wp:lineTo x="111" y="4445"/>
              <wp:lineTo x="7142" y="7274"/>
              <wp:lineTo x="111" y="7274"/>
              <wp:lineTo x="111" y="18993"/>
              <wp:lineTo x="16504" y="20206"/>
              <wp:lineTo x="21463" y="20206"/>
              <wp:lineTo x="21463" y="808"/>
              <wp:lineTo x="111" y="808"/>
            </wp:wrapPolygon>
          </wp:wrapTight>
          <wp:docPr id="5" name="图片 5" descr="未标题-1_画板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图片 5" descr="未标题-1_画板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412990" cy="6788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80C1B43">
                          <w:pPr>
                            <w:pStyle w:val="3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rPr>
                              <w:rFonts w:hint="eastAsia"/>
                              <w:lang w:val="en-US" w:eastAsia="zh-CN"/>
                            </w:rPr>
                            <w:t>2</w:t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80C1B43">
                    <w:pPr>
                      <w:pStyle w:val="3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rPr>
                        <w:rFonts w:hint="eastAsia"/>
                        <w:lang w:val="en-US" w:eastAsia="zh-CN"/>
                      </w:rPr>
                      <w:t>2</w:t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6EA5BB">
    <w:pPr>
      <w:pStyle w:val="4"/>
      <w:rPr>
        <w:rFonts w:hint="eastAsia" w:eastAsiaTheme="minorEastAsia"/>
        <w:lang w:eastAsia="zh-CN"/>
      </w:rPr>
    </w:pPr>
    <w:r>
      <w:rPr>
        <w:rFonts w:hint="eastAsia" w:eastAsiaTheme="minorEastAsia"/>
        <w:lang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-1084580</wp:posOffset>
          </wp:positionH>
          <wp:positionV relativeFrom="page">
            <wp:posOffset>161925</wp:posOffset>
          </wp:positionV>
          <wp:extent cx="7426960" cy="680085"/>
          <wp:effectExtent l="0" t="0" r="0" b="0"/>
          <wp:wrapNone/>
          <wp:docPr id="1" name="图片 1" descr="未标题-1_画板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未标题-1_画板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426960" cy="6800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D545C2"/>
    <w:rsid w:val="05D30FA7"/>
    <w:rsid w:val="0C1618B2"/>
    <w:rsid w:val="0FB35ED0"/>
    <w:rsid w:val="19D545C2"/>
    <w:rsid w:val="2078600D"/>
    <w:rsid w:val="213D6DB5"/>
    <w:rsid w:val="325944FC"/>
    <w:rsid w:val="42204173"/>
    <w:rsid w:val="64774B91"/>
    <w:rsid w:val="74883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Arial" w:hAnsi="Arial" w:eastAsia="宋体" w:cstheme="minorBidi"/>
      <w:sz w:val="24"/>
      <w:szCs w:val="22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rFonts w:ascii="宋体" w:hAnsi="宋体" w:eastAsia="宋体" w:cs="宋体"/>
      <w:sz w:val="23"/>
      <w:szCs w:val="23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34</Words>
  <Characters>34</Characters>
  <Lines>0</Lines>
  <Paragraphs>0</Paragraphs>
  <TotalTime>8</TotalTime>
  <ScaleCrop>false</ScaleCrop>
  <LinksUpToDate>false</LinksUpToDate>
  <CharactersWithSpaces>34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2026-10-16T02:36:00Z</dcterms:created>
  <dc:creator>Fairy  sister</dc:creator>
  <cp:lastModifiedBy>魏旺旺</cp:lastModifiedBy>
  <dcterms:modified xsi:type="dcterms:W3CDTF">2026-10-16T03:36:27Z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EC2A6B95E3EF4745B2B1B0BC8C4CB672_13</vt:lpwstr>
  </property>
  <property fmtid="{D5CDD505-2E9C-101B-9397-08002B2CF9AE}" pid="4" name="KSOTemplateDocerSaveRecord">
    <vt:lpwstr>eyJoZGlkIjoiNTU3YWI2NTAzM2MwNjkyNTA5NzM4MzU3ZTM2OGNiYmUiLCJ1c2VySWQiOiI5NTQ4MjI5MzcifQ==</vt:lpwstr>
  </property>
</Properties>
</file>